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0421" w14:textId="14EE46EA" w:rsidR="00AD2417" w:rsidRDefault="00AD2417" w:rsidP="00AD2417">
      <w:pPr>
        <w:jc w:val="center"/>
        <w:rPr>
          <w:rFonts w:ascii="Arial" w:hAnsi="Arial" w:cs="Arial"/>
          <w:b/>
          <w:bCs/>
          <w:sz w:val="20"/>
          <w:szCs w:val="20"/>
        </w:rPr>
      </w:pPr>
      <w:r w:rsidRPr="00AD2417">
        <w:rPr>
          <w:rFonts w:ascii="Arial" w:hAnsi="Arial" w:cs="Arial"/>
          <w:b/>
          <w:bCs/>
          <w:sz w:val="20"/>
          <w:szCs w:val="20"/>
        </w:rPr>
        <w:t>Gestión Financiera – 91.34 – Parcial 1° 2021</w:t>
      </w:r>
    </w:p>
    <w:p w14:paraId="1423461E" w14:textId="7271D709" w:rsidR="00AD2417" w:rsidRDefault="00AD2417" w:rsidP="00AD2417">
      <w:pPr>
        <w:rPr>
          <w:rFonts w:ascii="Arial" w:hAnsi="Arial" w:cs="Arial"/>
          <w:sz w:val="20"/>
          <w:szCs w:val="20"/>
        </w:rPr>
      </w:pPr>
      <w:r w:rsidRPr="00AD2417">
        <w:rPr>
          <w:rFonts w:ascii="Arial" w:hAnsi="Arial" w:cs="Arial"/>
          <w:sz w:val="20"/>
          <w:szCs w:val="20"/>
        </w:rPr>
        <w:t>Condiciones</w:t>
      </w:r>
      <w:r>
        <w:rPr>
          <w:rFonts w:ascii="Arial" w:hAnsi="Arial" w:cs="Arial"/>
          <w:sz w:val="20"/>
          <w:szCs w:val="20"/>
        </w:rPr>
        <w:t xml:space="preserve"> del parcial</w:t>
      </w:r>
    </w:p>
    <w:p w14:paraId="7EF243A6" w14:textId="77777777" w:rsidR="00AD2417" w:rsidRPr="00AD2417" w:rsidRDefault="00AD2417" w:rsidP="00AD2417">
      <w:pPr>
        <w:pStyle w:val="ListParagraph"/>
        <w:numPr>
          <w:ilvl w:val="0"/>
          <w:numId w:val="3"/>
        </w:numPr>
        <w:spacing w:line="256" w:lineRule="auto"/>
        <w:rPr>
          <w:rFonts w:ascii="Arial" w:hAnsi="Arial" w:cs="Arial"/>
          <w:sz w:val="20"/>
          <w:szCs w:val="20"/>
        </w:rPr>
      </w:pPr>
      <w:r w:rsidRPr="00AD2417">
        <w:rPr>
          <w:rFonts w:ascii="Arial" w:hAnsi="Arial" w:cs="Arial"/>
          <w:sz w:val="20"/>
          <w:szCs w:val="20"/>
        </w:rPr>
        <w:t>Contarán con 2.30hrs desde que se habilita el examen en el campus</w:t>
      </w:r>
    </w:p>
    <w:p w14:paraId="5C2771D4" w14:textId="55C07F60" w:rsidR="00AD2417" w:rsidRPr="00AD2417" w:rsidRDefault="00AD2417" w:rsidP="00AD2417">
      <w:pPr>
        <w:pStyle w:val="ListParagraph"/>
        <w:numPr>
          <w:ilvl w:val="0"/>
          <w:numId w:val="3"/>
        </w:numPr>
        <w:spacing w:line="256" w:lineRule="auto"/>
        <w:rPr>
          <w:rFonts w:ascii="Arial" w:hAnsi="Arial" w:cs="Arial"/>
          <w:sz w:val="20"/>
          <w:szCs w:val="20"/>
        </w:rPr>
      </w:pPr>
      <w:r w:rsidRPr="00AD2417">
        <w:rPr>
          <w:rFonts w:ascii="Arial" w:hAnsi="Arial" w:cs="Arial"/>
          <w:sz w:val="20"/>
          <w:szCs w:val="20"/>
        </w:rPr>
        <w:t xml:space="preserve">Lean todo el examen antes. </w:t>
      </w:r>
    </w:p>
    <w:p w14:paraId="7046A94E" w14:textId="77777777" w:rsidR="00AD2417" w:rsidRPr="00AD2417" w:rsidRDefault="00AD2417" w:rsidP="00AD2417">
      <w:pPr>
        <w:pStyle w:val="ListParagraph"/>
        <w:numPr>
          <w:ilvl w:val="0"/>
          <w:numId w:val="3"/>
        </w:numPr>
        <w:spacing w:line="256" w:lineRule="auto"/>
        <w:rPr>
          <w:rFonts w:ascii="Arial" w:hAnsi="Arial" w:cs="Arial"/>
          <w:sz w:val="20"/>
          <w:szCs w:val="20"/>
        </w:rPr>
      </w:pPr>
      <w:r w:rsidRPr="00AD2417">
        <w:rPr>
          <w:rFonts w:ascii="Arial" w:hAnsi="Arial" w:cs="Arial"/>
          <w:sz w:val="20"/>
          <w:szCs w:val="20"/>
        </w:rPr>
        <w:t xml:space="preserve">La resolución del parcial debe ser enviada por mail hasta la hora indicada a </w:t>
      </w:r>
      <w:hyperlink r:id="rId5" w:history="1">
        <w:r w:rsidRPr="00AD2417">
          <w:rPr>
            <w:sz w:val="20"/>
            <w:szCs w:val="20"/>
          </w:rPr>
          <w:t>jonatan.march@gmail.com</w:t>
        </w:r>
      </w:hyperlink>
      <w:r w:rsidRPr="00AD2417">
        <w:rPr>
          <w:rFonts w:ascii="Arial" w:hAnsi="Arial" w:cs="Arial"/>
          <w:sz w:val="20"/>
          <w:szCs w:val="20"/>
        </w:rPr>
        <w:t xml:space="preserve"> y </w:t>
      </w:r>
      <w:hyperlink r:id="rId6" w:history="1">
        <w:r w:rsidRPr="00AD2417">
          <w:rPr>
            <w:sz w:val="20"/>
            <w:szCs w:val="20"/>
          </w:rPr>
          <w:t>dgarcia@ternium.com</w:t>
        </w:r>
      </w:hyperlink>
      <w:r w:rsidRPr="00AD2417">
        <w:rPr>
          <w:rFonts w:ascii="Arial" w:hAnsi="Arial" w:cs="Arial"/>
          <w:sz w:val="20"/>
          <w:szCs w:val="20"/>
        </w:rPr>
        <w:t xml:space="preserve"> </w:t>
      </w:r>
    </w:p>
    <w:p w14:paraId="61DA06A0" w14:textId="77777777" w:rsidR="00AD2417" w:rsidRPr="00AD2417" w:rsidRDefault="00AD2417" w:rsidP="00AD2417">
      <w:pPr>
        <w:pStyle w:val="ListParagraph"/>
        <w:numPr>
          <w:ilvl w:val="0"/>
          <w:numId w:val="3"/>
        </w:numPr>
        <w:spacing w:line="256" w:lineRule="auto"/>
        <w:rPr>
          <w:rFonts w:ascii="Arial" w:hAnsi="Arial" w:cs="Arial"/>
          <w:sz w:val="20"/>
          <w:szCs w:val="20"/>
        </w:rPr>
      </w:pPr>
      <w:r w:rsidRPr="00AD2417">
        <w:rPr>
          <w:rFonts w:ascii="Arial" w:hAnsi="Arial" w:cs="Arial"/>
          <w:sz w:val="20"/>
          <w:szCs w:val="20"/>
        </w:rPr>
        <w:t>El formato debe ser en Excel o en Word.</w:t>
      </w:r>
    </w:p>
    <w:p w14:paraId="043D1A8B" w14:textId="77777777" w:rsidR="00AD2417" w:rsidRPr="00AD2417" w:rsidRDefault="00AD2417" w:rsidP="00AD2417">
      <w:pPr>
        <w:pStyle w:val="ListParagraph"/>
        <w:numPr>
          <w:ilvl w:val="0"/>
          <w:numId w:val="3"/>
        </w:numPr>
        <w:spacing w:line="256" w:lineRule="auto"/>
        <w:rPr>
          <w:rFonts w:ascii="Arial" w:hAnsi="Arial" w:cs="Arial"/>
          <w:sz w:val="20"/>
          <w:szCs w:val="20"/>
        </w:rPr>
      </w:pPr>
      <w:r w:rsidRPr="00AD2417">
        <w:rPr>
          <w:rFonts w:ascii="Arial" w:hAnsi="Arial" w:cs="Arial"/>
          <w:sz w:val="20"/>
          <w:szCs w:val="20"/>
        </w:rPr>
        <w:t>Es necesario poder entender cuáles son las respuestas que quisieron dar, así como también el proceso de razonamiento y cuentas que hicieron para llegar al resultado. El trabajo que hagan para la entrega es parte de la evaluación</w:t>
      </w:r>
    </w:p>
    <w:p w14:paraId="14511B97" w14:textId="57A0A4FE" w:rsidR="00AD2417" w:rsidRPr="00AD2417" w:rsidRDefault="00AD2417" w:rsidP="00AD2417">
      <w:pPr>
        <w:pStyle w:val="ListParagraph"/>
        <w:numPr>
          <w:ilvl w:val="0"/>
          <w:numId w:val="3"/>
        </w:numPr>
        <w:spacing w:line="256" w:lineRule="auto"/>
        <w:rPr>
          <w:rFonts w:ascii="Arial" w:hAnsi="Arial" w:cs="Arial"/>
          <w:sz w:val="20"/>
          <w:szCs w:val="20"/>
        </w:rPr>
      </w:pPr>
      <w:r w:rsidRPr="00AD2417">
        <w:rPr>
          <w:rFonts w:ascii="Arial" w:hAnsi="Arial" w:cs="Arial"/>
          <w:sz w:val="20"/>
          <w:szCs w:val="20"/>
        </w:rPr>
        <w:t>La corrección será por curva.</w:t>
      </w:r>
    </w:p>
    <w:p w14:paraId="2A0EFC0D" w14:textId="6C92A327" w:rsidR="00EB4F57" w:rsidRPr="00AD2417" w:rsidRDefault="00EB4F57">
      <w:pPr>
        <w:rPr>
          <w:rFonts w:ascii="Arial" w:hAnsi="Arial" w:cs="Arial"/>
          <w:sz w:val="20"/>
          <w:szCs w:val="20"/>
        </w:rPr>
      </w:pPr>
      <w:r w:rsidRPr="00AD2417">
        <w:rPr>
          <w:rFonts w:ascii="Arial" w:hAnsi="Arial" w:cs="Arial"/>
          <w:sz w:val="20"/>
          <w:szCs w:val="20"/>
        </w:rPr>
        <w:t>Ejercicio 1)</w:t>
      </w:r>
    </w:p>
    <w:p w14:paraId="73D7EDE6" w14:textId="156A4CBF" w:rsidR="00397B21" w:rsidRPr="00AD2417" w:rsidRDefault="007800F5">
      <w:pPr>
        <w:rPr>
          <w:rFonts w:ascii="Arial" w:hAnsi="Arial" w:cs="Arial"/>
          <w:sz w:val="20"/>
          <w:szCs w:val="20"/>
        </w:rPr>
      </w:pPr>
      <w:r w:rsidRPr="00AD2417">
        <w:rPr>
          <w:rFonts w:ascii="Arial" w:hAnsi="Arial" w:cs="Arial"/>
          <w:sz w:val="20"/>
          <w:szCs w:val="20"/>
        </w:rPr>
        <w:t xml:space="preserve">En Diciembre de 2020, Pampa Energía decide vender su participación del 51% de Edenor, a un grupo conformado por Vila, Manzano y </w:t>
      </w:r>
      <w:proofErr w:type="spellStart"/>
      <w:r w:rsidRPr="00AD2417">
        <w:rPr>
          <w:rFonts w:ascii="Arial" w:hAnsi="Arial" w:cs="Arial"/>
          <w:sz w:val="20"/>
          <w:szCs w:val="20"/>
        </w:rPr>
        <w:t>Filiberti</w:t>
      </w:r>
      <w:proofErr w:type="spellEnd"/>
      <w:r w:rsidRPr="00AD2417">
        <w:rPr>
          <w:rFonts w:ascii="Arial" w:hAnsi="Arial" w:cs="Arial"/>
          <w:sz w:val="20"/>
          <w:szCs w:val="20"/>
        </w:rPr>
        <w:t xml:space="preserve"> entre otros (los “Compradores”). En el </w:t>
      </w:r>
      <w:r w:rsidR="00EE6885" w:rsidRPr="00AD2417">
        <w:rPr>
          <w:rFonts w:ascii="Arial" w:hAnsi="Arial" w:cs="Arial"/>
          <w:sz w:val="20"/>
          <w:szCs w:val="20"/>
        </w:rPr>
        <w:t>documento anexo podrán ver la comunicación de prensa de Edenor y Pampa en la que detallan el precio de la operación.</w:t>
      </w:r>
    </w:p>
    <w:p w14:paraId="2E4B1E9D" w14:textId="228D2AD2" w:rsidR="00EE6885" w:rsidRPr="00AD2417" w:rsidRDefault="00EE6885">
      <w:pPr>
        <w:rPr>
          <w:rFonts w:ascii="Arial" w:hAnsi="Arial" w:cs="Arial"/>
          <w:sz w:val="20"/>
          <w:szCs w:val="20"/>
        </w:rPr>
      </w:pPr>
      <w:r w:rsidRPr="00AD2417">
        <w:rPr>
          <w:rFonts w:ascii="Arial" w:hAnsi="Arial" w:cs="Arial"/>
          <w:sz w:val="20"/>
          <w:szCs w:val="20"/>
        </w:rPr>
        <w:t xml:space="preserve">En 2020, Edenor hizo una estimación del valor de sus activos en función del flujo de fondos proyectado y concluyó que debió registrar una pérdida contable de ARS 17396 millones, como pueden ver en los estados financieros adjuntos. Esa pérdida, </w:t>
      </w:r>
      <w:r w:rsidR="00AD2417">
        <w:rPr>
          <w:rFonts w:ascii="Arial" w:hAnsi="Arial" w:cs="Arial"/>
          <w:sz w:val="20"/>
          <w:szCs w:val="20"/>
        </w:rPr>
        <w:t xml:space="preserve">solamente se registró ese año y </w:t>
      </w:r>
      <w:r w:rsidRPr="00AD2417">
        <w:rPr>
          <w:rFonts w:ascii="Arial" w:hAnsi="Arial" w:cs="Arial"/>
          <w:sz w:val="20"/>
          <w:szCs w:val="20"/>
        </w:rPr>
        <w:t>al igual que las amortizaciones, no representa una salida de efectivo.</w:t>
      </w:r>
    </w:p>
    <w:p w14:paraId="374904C5" w14:textId="77777777" w:rsidR="00EE6885" w:rsidRPr="00AD2417" w:rsidRDefault="007800F5">
      <w:pPr>
        <w:rPr>
          <w:rFonts w:ascii="Arial" w:hAnsi="Arial" w:cs="Arial"/>
          <w:sz w:val="20"/>
          <w:szCs w:val="20"/>
        </w:rPr>
      </w:pPr>
      <w:r w:rsidRPr="00AD2417">
        <w:rPr>
          <w:rFonts w:ascii="Arial" w:hAnsi="Arial" w:cs="Arial"/>
          <w:sz w:val="20"/>
          <w:szCs w:val="20"/>
        </w:rPr>
        <w:t xml:space="preserve">Datos: </w:t>
      </w:r>
    </w:p>
    <w:p w14:paraId="0907FC21" w14:textId="4DE7237B" w:rsidR="007800F5" w:rsidRPr="00AD2417" w:rsidRDefault="007800F5">
      <w:pPr>
        <w:rPr>
          <w:rFonts w:ascii="Arial" w:hAnsi="Arial" w:cs="Arial"/>
          <w:sz w:val="20"/>
          <w:szCs w:val="20"/>
        </w:rPr>
      </w:pPr>
      <w:r w:rsidRPr="00AD2417">
        <w:rPr>
          <w:rFonts w:ascii="Arial" w:hAnsi="Arial" w:cs="Arial"/>
          <w:sz w:val="20"/>
          <w:szCs w:val="20"/>
        </w:rPr>
        <w:t xml:space="preserve">Cotización de acciones </w:t>
      </w:r>
      <w:r w:rsidR="00EE6885" w:rsidRPr="00AD2417">
        <w:rPr>
          <w:rFonts w:ascii="Arial" w:hAnsi="Arial" w:cs="Arial"/>
          <w:sz w:val="20"/>
          <w:szCs w:val="20"/>
        </w:rPr>
        <w:t xml:space="preserve">Edenor </w:t>
      </w:r>
      <w:r w:rsidRPr="00AD2417">
        <w:rPr>
          <w:rFonts w:ascii="Arial" w:hAnsi="Arial" w:cs="Arial"/>
          <w:sz w:val="20"/>
          <w:szCs w:val="20"/>
        </w:rPr>
        <w:t>clase B al 28/dic/2020 AR$ 28,1</w:t>
      </w:r>
    </w:p>
    <w:p w14:paraId="4F06F382" w14:textId="3D04CD06" w:rsidR="00EE6885" w:rsidRPr="00AD2417" w:rsidRDefault="00EE6885">
      <w:pPr>
        <w:rPr>
          <w:rFonts w:ascii="Arial" w:hAnsi="Arial" w:cs="Arial"/>
          <w:sz w:val="20"/>
          <w:szCs w:val="20"/>
        </w:rPr>
      </w:pPr>
      <w:r w:rsidRPr="00AD2417">
        <w:rPr>
          <w:rFonts w:ascii="Arial" w:hAnsi="Arial" w:cs="Arial"/>
          <w:sz w:val="20"/>
          <w:szCs w:val="20"/>
        </w:rPr>
        <w:t>TC ARS-USD oficial promedio 2020: 70,68</w:t>
      </w:r>
    </w:p>
    <w:p w14:paraId="62147631" w14:textId="3810E7B8" w:rsidR="00EE6885" w:rsidRPr="00AD2417" w:rsidRDefault="00EE6885" w:rsidP="00EE6885">
      <w:pPr>
        <w:rPr>
          <w:rFonts w:ascii="Arial" w:hAnsi="Arial" w:cs="Arial"/>
          <w:sz w:val="20"/>
          <w:szCs w:val="20"/>
        </w:rPr>
      </w:pPr>
      <w:r w:rsidRPr="00AD2417">
        <w:rPr>
          <w:rFonts w:ascii="Arial" w:hAnsi="Arial" w:cs="Arial"/>
          <w:sz w:val="20"/>
          <w:szCs w:val="20"/>
        </w:rPr>
        <w:t>TC ARS-USD oficial cierre 2020: 84,15</w:t>
      </w:r>
    </w:p>
    <w:p w14:paraId="7B965189" w14:textId="4FF32D7E" w:rsidR="00EE6885" w:rsidRPr="00AD2417" w:rsidRDefault="00EE6885" w:rsidP="00EE6885">
      <w:pPr>
        <w:rPr>
          <w:rFonts w:ascii="Arial" w:hAnsi="Arial" w:cs="Arial"/>
          <w:sz w:val="20"/>
          <w:szCs w:val="20"/>
        </w:rPr>
      </w:pPr>
      <w:r w:rsidRPr="00AD2417">
        <w:rPr>
          <w:rFonts w:ascii="Arial" w:hAnsi="Arial" w:cs="Arial"/>
          <w:sz w:val="20"/>
          <w:szCs w:val="20"/>
        </w:rPr>
        <w:t xml:space="preserve">TC CCL ARS-USD </w:t>
      </w:r>
      <w:proofErr w:type="spellStart"/>
      <w:r w:rsidRPr="00AD2417">
        <w:rPr>
          <w:rFonts w:ascii="Arial" w:hAnsi="Arial" w:cs="Arial"/>
          <w:sz w:val="20"/>
          <w:szCs w:val="20"/>
        </w:rPr>
        <w:t>promedio</w:t>
      </w:r>
      <w:proofErr w:type="spellEnd"/>
      <w:r w:rsidRPr="00AD2417">
        <w:rPr>
          <w:rFonts w:ascii="Arial" w:hAnsi="Arial" w:cs="Arial"/>
          <w:sz w:val="20"/>
          <w:szCs w:val="20"/>
        </w:rPr>
        <w:t xml:space="preserve"> 2020: 118,39</w:t>
      </w:r>
    </w:p>
    <w:p w14:paraId="0AA912D3" w14:textId="7B8B2236" w:rsidR="00EE6885" w:rsidRPr="00AD2417" w:rsidRDefault="00EE6885" w:rsidP="00EE6885">
      <w:pPr>
        <w:rPr>
          <w:rFonts w:ascii="Arial" w:hAnsi="Arial" w:cs="Arial"/>
          <w:sz w:val="20"/>
          <w:szCs w:val="20"/>
        </w:rPr>
      </w:pPr>
      <w:r w:rsidRPr="00AD2417">
        <w:rPr>
          <w:rFonts w:ascii="Arial" w:hAnsi="Arial" w:cs="Arial"/>
          <w:sz w:val="20"/>
          <w:szCs w:val="20"/>
        </w:rPr>
        <w:t>TC CCL ARS-USD cierre 2020: 144,17</w:t>
      </w:r>
    </w:p>
    <w:p w14:paraId="3F2507CD" w14:textId="0EFF0A1F" w:rsidR="00EE6885" w:rsidRPr="00AD2417" w:rsidRDefault="00EE6885" w:rsidP="00EE6885">
      <w:pPr>
        <w:rPr>
          <w:rFonts w:ascii="Arial" w:hAnsi="Arial" w:cs="Arial"/>
          <w:sz w:val="20"/>
          <w:szCs w:val="20"/>
        </w:rPr>
      </w:pPr>
      <w:r w:rsidRPr="00AD2417">
        <w:rPr>
          <w:rFonts w:ascii="Arial" w:hAnsi="Arial" w:cs="Arial"/>
          <w:sz w:val="20"/>
          <w:szCs w:val="20"/>
        </w:rPr>
        <w:t>Preguntas:</w:t>
      </w:r>
    </w:p>
    <w:p w14:paraId="6933F0D8" w14:textId="0F1D8F2D" w:rsidR="00EE6885" w:rsidRPr="00AD2417" w:rsidRDefault="00EE6885" w:rsidP="00EE6885">
      <w:pPr>
        <w:pStyle w:val="ListParagraph"/>
        <w:numPr>
          <w:ilvl w:val="0"/>
          <w:numId w:val="1"/>
        </w:numPr>
        <w:rPr>
          <w:rFonts w:ascii="Arial" w:hAnsi="Arial" w:cs="Arial"/>
          <w:sz w:val="20"/>
          <w:szCs w:val="20"/>
        </w:rPr>
      </w:pPr>
      <w:r w:rsidRPr="00AD2417">
        <w:rPr>
          <w:rFonts w:ascii="Arial" w:hAnsi="Arial" w:cs="Arial"/>
          <w:sz w:val="20"/>
          <w:szCs w:val="20"/>
        </w:rPr>
        <w:t>Cual fue el EBITDA 2020 de Edenor?</w:t>
      </w:r>
    </w:p>
    <w:p w14:paraId="7C0A73E1" w14:textId="5963B903" w:rsidR="00EE6885" w:rsidRPr="00AD2417" w:rsidRDefault="00EE6885" w:rsidP="00EE6885">
      <w:pPr>
        <w:pStyle w:val="ListParagraph"/>
        <w:numPr>
          <w:ilvl w:val="0"/>
          <w:numId w:val="1"/>
        </w:numPr>
        <w:rPr>
          <w:rFonts w:ascii="Arial" w:hAnsi="Arial" w:cs="Arial"/>
          <w:sz w:val="20"/>
          <w:szCs w:val="20"/>
        </w:rPr>
      </w:pPr>
      <w:r w:rsidRPr="00AD2417">
        <w:rPr>
          <w:rFonts w:ascii="Arial" w:hAnsi="Arial" w:cs="Arial"/>
          <w:sz w:val="20"/>
          <w:szCs w:val="20"/>
        </w:rPr>
        <w:t>Cuan apalancada estaba EDENOR a dic. 2020?</w:t>
      </w:r>
    </w:p>
    <w:p w14:paraId="61BD9256" w14:textId="645D62FF" w:rsidR="00AD6B4A" w:rsidRPr="00AD2417" w:rsidRDefault="00AD6B4A" w:rsidP="00EE6885">
      <w:pPr>
        <w:pStyle w:val="ListParagraph"/>
        <w:numPr>
          <w:ilvl w:val="0"/>
          <w:numId w:val="1"/>
        </w:numPr>
        <w:rPr>
          <w:rFonts w:ascii="Arial" w:hAnsi="Arial" w:cs="Arial"/>
          <w:sz w:val="20"/>
          <w:szCs w:val="20"/>
        </w:rPr>
      </w:pPr>
      <w:r w:rsidRPr="00AD2417">
        <w:rPr>
          <w:rFonts w:ascii="Arial" w:hAnsi="Arial" w:cs="Arial"/>
          <w:sz w:val="20"/>
          <w:szCs w:val="20"/>
        </w:rPr>
        <w:t>Como quedaría el apalancamiento de EDENOR si hubiera una devaluación de 50% y no hubiera cambios en las tarifas ni costos operativos?</w:t>
      </w:r>
    </w:p>
    <w:p w14:paraId="29A61640" w14:textId="0B52B0F6" w:rsidR="00EE6885" w:rsidRPr="00AD2417" w:rsidRDefault="00DF1FE2" w:rsidP="00EE6885">
      <w:pPr>
        <w:pStyle w:val="ListParagraph"/>
        <w:numPr>
          <w:ilvl w:val="0"/>
          <w:numId w:val="1"/>
        </w:numPr>
        <w:rPr>
          <w:rFonts w:ascii="Arial" w:hAnsi="Arial" w:cs="Arial"/>
          <w:sz w:val="20"/>
          <w:szCs w:val="20"/>
        </w:rPr>
      </w:pPr>
      <w:r w:rsidRPr="00AD2417">
        <w:rPr>
          <w:rFonts w:ascii="Arial" w:hAnsi="Arial" w:cs="Arial"/>
          <w:sz w:val="20"/>
          <w:szCs w:val="20"/>
        </w:rPr>
        <w:t xml:space="preserve">Que múltiplo de EV/EBITDA está implícito en el precio pagado por </w:t>
      </w:r>
      <w:r w:rsidR="00AD6B4A" w:rsidRPr="00AD2417">
        <w:rPr>
          <w:rFonts w:ascii="Arial" w:hAnsi="Arial" w:cs="Arial"/>
          <w:sz w:val="20"/>
          <w:szCs w:val="20"/>
        </w:rPr>
        <w:t>los Compradores?</w:t>
      </w:r>
    </w:p>
    <w:p w14:paraId="7E5B8A35" w14:textId="3872EA01" w:rsidR="00AD6B4A" w:rsidRPr="00AD2417" w:rsidRDefault="00AD6B4A" w:rsidP="00EE6885">
      <w:pPr>
        <w:pStyle w:val="ListParagraph"/>
        <w:numPr>
          <w:ilvl w:val="0"/>
          <w:numId w:val="1"/>
        </w:numPr>
        <w:rPr>
          <w:rFonts w:ascii="Arial" w:hAnsi="Arial" w:cs="Arial"/>
          <w:sz w:val="20"/>
          <w:szCs w:val="20"/>
        </w:rPr>
      </w:pPr>
      <w:r w:rsidRPr="00AD2417">
        <w:rPr>
          <w:rFonts w:ascii="Arial" w:hAnsi="Arial" w:cs="Arial"/>
          <w:sz w:val="20"/>
          <w:szCs w:val="20"/>
        </w:rPr>
        <w:t>Que aumento tarifario debiera darse para que el EV/EBITDA sea de 5x?</w:t>
      </w:r>
    </w:p>
    <w:p w14:paraId="2B87ED39" w14:textId="0D294847" w:rsidR="00AD6B4A" w:rsidRPr="00AD2417" w:rsidRDefault="00AD6B4A" w:rsidP="00EE6885">
      <w:pPr>
        <w:pStyle w:val="ListParagraph"/>
        <w:numPr>
          <w:ilvl w:val="0"/>
          <w:numId w:val="1"/>
        </w:numPr>
        <w:rPr>
          <w:rFonts w:ascii="Arial" w:hAnsi="Arial" w:cs="Arial"/>
          <w:sz w:val="20"/>
          <w:szCs w:val="20"/>
        </w:rPr>
      </w:pPr>
      <w:r w:rsidRPr="00AD2417">
        <w:rPr>
          <w:rFonts w:ascii="Arial" w:hAnsi="Arial" w:cs="Arial"/>
          <w:sz w:val="20"/>
          <w:szCs w:val="20"/>
        </w:rPr>
        <w:t>Como quedaría en ese caso el apalancamiento?</w:t>
      </w:r>
    </w:p>
    <w:p w14:paraId="784B114C" w14:textId="5A8FB17D" w:rsidR="00AD6B4A" w:rsidRPr="00DF1FE2" w:rsidRDefault="00AD2417" w:rsidP="00660B8C">
      <w:pPr>
        <w:pStyle w:val="ListParagraph"/>
        <w:numPr>
          <w:ilvl w:val="0"/>
          <w:numId w:val="1"/>
        </w:numPr>
      </w:pPr>
      <w:r w:rsidRPr="00AD2417">
        <w:rPr>
          <w:rFonts w:ascii="Arial" w:hAnsi="Arial" w:cs="Arial"/>
          <w:sz w:val="20"/>
          <w:szCs w:val="20"/>
        </w:rPr>
        <w:t>Comparen el precio pagado por los compradores con el precio de mercado al cierre del día</w:t>
      </w:r>
      <w:r>
        <w:rPr>
          <w:rFonts w:ascii="Arial" w:hAnsi="Arial" w:cs="Arial"/>
          <w:sz w:val="20"/>
          <w:szCs w:val="20"/>
        </w:rPr>
        <w:t>. ¿Que pueden decir al respecto?</w:t>
      </w:r>
    </w:p>
    <w:p w14:paraId="7C3A4275" w14:textId="0C33DA90" w:rsidR="00EE6885" w:rsidRDefault="007570A4">
      <w:r>
        <w:t>Ejercicio 2 – Bonos</w:t>
      </w:r>
    </w:p>
    <w:p w14:paraId="4D35FA0D" w14:textId="77777777" w:rsidR="00AD2417" w:rsidRPr="00AD2417" w:rsidRDefault="00AD2417" w:rsidP="00AD2417">
      <w:pPr>
        <w:rPr>
          <w:rFonts w:ascii="Arial" w:hAnsi="Arial" w:cs="Arial"/>
          <w:sz w:val="20"/>
          <w:szCs w:val="20"/>
        </w:rPr>
      </w:pPr>
      <w:r w:rsidRPr="00AD2417">
        <w:rPr>
          <w:rFonts w:ascii="Arial" w:hAnsi="Arial" w:cs="Arial"/>
          <w:sz w:val="20"/>
          <w:szCs w:val="20"/>
        </w:rPr>
        <w:t>Usted es tenedor de bonos BONAR 2020 con vencimiento 8 Oct 2020. El ultimo pago de intereses de este bono fue en Octubre 2019. En el adjunto “Propuesta Canje AR 2020” podrá ver las alternativas de canje. El mercado asume una tasa de descuento (</w:t>
      </w:r>
      <w:proofErr w:type="spellStart"/>
      <w:r w:rsidRPr="00AD2417">
        <w:rPr>
          <w:rFonts w:ascii="Arial" w:hAnsi="Arial" w:cs="Arial"/>
          <w:sz w:val="20"/>
          <w:szCs w:val="20"/>
        </w:rPr>
        <w:t>Exit</w:t>
      </w:r>
      <w:proofErr w:type="spellEnd"/>
      <w:r w:rsidRPr="00AD2417">
        <w:rPr>
          <w:rFonts w:ascii="Arial" w:hAnsi="Arial" w:cs="Arial"/>
          <w:sz w:val="20"/>
          <w:szCs w:val="20"/>
        </w:rPr>
        <w:t xml:space="preserve"> </w:t>
      </w:r>
      <w:proofErr w:type="spellStart"/>
      <w:r w:rsidRPr="00AD2417">
        <w:rPr>
          <w:rFonts w:ascii="Arial" w:hAnsi="Arial" w:cs="Arial"/>
          <w:sz w:val="20"/>
          <w:szCs w:val="20"/>
        </w:rPr>
        <w:t>Yield</w:t>
      </w:r>
      <w:proofErr w:type="spellEnd"/>
      <w:r w:rsidRPr="00AD2417">
        <w:rPr>
          <w:rFonts w:ascii="Arial" w:hAnsi="Arial" w:cs="Arial"/>
          <w:sz w:val="20"/>
          <w:szCs w:val="20"/>
        </w:rPr>
        <w:t>) de 10%.</w:t>
      </w:r>
    </w:p>
    <w:p w14:paraId="2AC6999E" w14:textId="77777777" w:rsidR="00AD2417" w:rsidRPr="00AD2417" w:rsidRDefault="00AD2417" w:rsidP="00AD2417">
      <w:pPr>
        <w:pStyle w:val="ListParagraph"/>
        <w:numPr>
          <w:ilvl w:val="0"/>
          <w:numId w:val="2"/>
        </w:numPr>
        <w:spacing w:line="256" w:lineRule="auto"/>
        <w:rPr>
          <w:rFonts w:ascii="Arial" w:hAnsi="Arial" w:cs="Arial"/>
          <w:sz w:val="20"/>
          <w:szCs w:val="20"/>
        </w:rPr>
      </w:pPr>
      <w:r w:rsidRPr="00AD2417">
        <w:rPr>
          <w:rFonts w:ascii="Arial" w:hAnsi="Arial" w:cs="Arial"/>
          <w:sz w:val="20"/>
          <w:szCs w:val="20"/>
        </w:rPr>
        <w:t xml:space="preserve">¿Cuál es la alternativa que elegiría? </w:t>
      </w:r>
    </w:p>
    <w:p w14:paraId="20001486" w14:textId="77777777" w:rsidR="00AD2417" w:rsidRPr="00AD2417" w:rsidRDefault="00AD2417" w:rsidP="00AD2417">
      <w:pPr>
        <w:pStyle w:val="ListParagraph"/>
        <w:numPr>
          <w:ilvl w:val="0"/>
          <w:numId w:val="2"/>
        </w:numPr>
        <w:spacing w:line="256" w:lineRule="auto"/>
        <w:rPr>
          <w:rFonts w:ascii="Arial" w:hAnsi="Arial" w:cs="Arial"/>
          <w:sz w:val="20"/>
          <w:szCs w:val="20"/>
        </w:rPr>
      </w:pPr>
      <w:r w:rsidRPr="00AD2417">
        <w:rPr>
          <w:rFonts w:ascii="Arial" w:hAnsi="Arial" w:cs="Arial"/>
          <w:sz w:val="20"/>
          <w:szCs w:val="20"/>
        </w:rPr>
        <w:t>Si usted es optimista con el futuro del país, y piensa que en realidad la tasa de descuento bajara a 5% dentro de un año, ¿cuál alternativa es la mejor para ese escenario?</w:t>
      </w:r>
    </w:p>
    <w:p w14:paraId="3E200F27" w14:textId="77777777" w:rsidR="00AD2417" w:rsidRPr="00AD2417" w:rsidRDefault="00AD2417" w:rsidP="00AD2417">
      <w:pPr>
        <w:rPr>
          <w:rFonts w:ascii="Arial" w:hAnsi="Arial" w:cs="Arial"/>
          <w:sz w:val="20"/>
          <w:szCs w:val="20"/>
        </w:rPr>
      </w:pPr>
      <w:r w:rsidRPr="00AD2417">
        <w:rPr>
          <w:rFonts w:ascii="Arial" w:hAnsi="Arial" w:cs="Arial"/>
          <w:sz w:val="20"/>
          <w:szCs w:val="20"/>
          <w:u w:val="single"/>
        </w:rPr>
        <w:lastRenderedPageBreak/>
        <w:t xml:space="preserve">Condiciones de emisión del </w:t>
      </w:r>
      <w:proofErr w:type="spellStart"/>
      <w:r w:rsidRPr="00AD2417">
        <w:rPr>
          <w:rFonts w:ascii="Arial" w:hAnsi="Arial" w:cs="Arial"/>
          <w:sz w:val="20"/>
          <w:szCs w:val="20"/>
          <w:u w:val="single"/>
        </w:rPr>
        <w:t>Bonar</w:t>
      </w:r>
      <w:proofErr w:type="spellEnd"/>
      <w:r w:rsidRPr="00AD2417">
        <w:rPr>
          <w:rFonts w:ascii="Arial" w:hAnsi="Arial" w:cs="Arial"/>
          <w:sz w:val="20"/>
          <w:szCs w:val="20"/>
          <w:u w:val="single"/>
        </w:rPr>
        <w:t xml:space="preserve"> 2020 (AO20):</w:t>
      </w:r>
      <w:r w:rsidRPr="00AD2417">
        <w:rPr>
          <w:rFonts w:ascii="Arial" w:hAnsi="Arial" w:cs="Arial"/>
          <w:sz w:val="20"/>
          <w:szCs w:val="20"/>
        </w:rPr>
        <w:br/>
      </w:r>
      <w:r w:rsidRPr="00AD2417">
        <w:rPr>
          <w:rFonts w:ascii="Arial" w:hAnsi="Arial" w:cs="Arial"/>
          <w:i/>
          <w:iCs/>
          <w:sz w:val="20"/>
          <w:szCs w:val="20"/>
        </w:rPr>
        <w:t>Fecha de emisión:</w:t>
      </w:r>
      <w:r w:rsidRPr="00AD2417">
        <w:rPr>
          <w:rFonts w:ascii="Arial" w:hAnsi="Arial" w:cs="Arial"/>
          <w:sz w:val="20"/>
          <w:szCs w:val="20"/>
        </w:rPr>
        <w:t xml:space="preserve"> 08/10/2015</w:t>
      </w:r>
      <w:r w:rsidRPr="00AD2417">
        <w:rPr>
          <w:rFonts w:ascii="Arial" w:hAnsi="Arial" w:cs="Arial"/>
          <w:sz w:val="20"/>
          <w:szCs w:val="20"/>
        </w:rPr>
        <w:br/>
      </w:r>
      <w:r w:rsidRPr="00AD2417">
        <w:rPr>
          <w:rFonts w:ascii="Arial" w:hAnsi="Arial" w:cs="Arial"/>
          <w:i/>
          <w:iCs/>
          <w:sz w:val="20"/>
          <w:szCs w:val="20"/>
        </w:rPr>
        <w:t>Fecha de vencimiento:</w:t>
      </w:r>
      <w:r w:rsidRPr="00AD2417">
        <w:rPr>
          <w:rFonts w:ascii="Arial" w:hAnsi="Arial" w:cs="Arial"/>
          <w:sz w:val="20"/>
          <w:szCs w:val="20"/>
        </w:rPr>
        <w:t xml:space="preserve"> 08/10/2020</w:t>
      </w:r>
      <w:r w:rsidRPr="00AD2417">
        <w:rPr>
          <w:rFonts w:ascii="Arial" w:hAnsi="Arial" w:cs="Arial"/>
          <w:sz w:val="20"/>
          <w:szCs w:val="20"/>
        </w:rPr>
        <w:br/>
      </w:r>
      <w:r w:rsidRPr="00AD2417">
        <w:rPr>
          <w:rFonts w:ascii="Arial" w:hAnsi="Arial" w:cs="Arial"/>
          <w:i/>
          <w:iCs/>
          <w:sz w:val="20"/>
          <w:szCs w:val="20"/>
        </w:rPr>
        <w:t>Interés:</w:t>
      </w:r>
      <w:r w:rsidRPr="00AD2417">
        <w:rPr>
          <w:rFonts w:ascii="Arial" w:hAnsi="Arial" w:cs="Arial"/>
          <w:sz w:val="20"/>
          <w:szCs w:val="20"/>
        </w:rPr>
        <w:t xml:space="preserve"> 8% anual pagaderos semestralmente</w:t>
      </w:r>
      <w:r w:rsidRPr="00AD2417">
        <w:rPr>
          <w:rFonts w:ascii="Arial" w:hAnsi="Arial" w:cs="Arial"/>
          <w:sz w:val="20"/>
          <w:szCs w:val="20"/>
        </w:rPr>
        <w:br/>
      </w:r>
      <w:r w:rsidRPr="00AD2417">
        <w:rPr>
          <w:rFonts w:ascii="Arial" w:hAnsi="Arial" w:cs="Arial"/>
          <w:i/>
          <w:iCs/>
          <w:sz w:val="20"/>
          <w:szCs w:val="20"/>
        </w:rPr>
        <w:t>Amortización:</w:t>
      </w:r>
      <w:r w:rsidRPr="00AD2417">
        <w:rPr>
          <w:rFonts w:ascii="Arial" w:hAnsi="Arial" w:cs="Arial"/>
          <w:sz w:val="20"/>
          <w:szCs w:val="20"/>
        </w:rPr>
        <w:t xml:space="preserve"> </w:t>
      </w:r>
      <w:proofErr w:type="spellStart"/>
      <w:r w:rsidRPr="00AD2417">
        <w:rPr>
          <w:rFonts w:ascii="Arial" w:hAnsi="Arial" w:cs="Arial"/>
          <w:sz w:val="20"/>
          <w:szCs w:val="20"/>
        </w:rPr>
        <w:t>Bullet</w:t>
      </w:r>
      <w:proofErr w:type="spellEnd"/>
      <w:r w:rsidRPr="00AD2417">
        <w:rPr>
          <w:rFonts w:ascii="Arial" w:hAnsi="Arial" w:cs="Arial"/>
          <w:sz w:val="20"/>
          <w:szCs w:val="20"/>
        </w:rPr>
        <w:br/>
      </w:r>
      <w:r w:rsidRPr="00AD2417">
        <w:rPr>
          <w:rFonts w:ascii="Arial" w:hAnsi="Arial" w:cs="Arial"/>
          <w:i/>
          <w:iCs/>
          <w:sz w:val="20"/>
          <w:szCs w:val="20"/>
        </w:rPr>
        <w:t>Ley Argentina</w:t>
      </w:r>
    </w:p>
    <w:p w14:paraId="34EE0E84" w14:textId="49E04460" w:rsidR="007570A4" w:rsidRPr="00DF1FE2" w:rsidRDefault="007570A4" w:rsidP="00AD2417"/>
    <w:sectPr w:rsidR="007570A4" w:rsidRPr="00DF1F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71D"/>
    <w:multiLevelType w:val="hybridMultilevel"/>
    <w:tmpl w:val="B70257F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F804DB4"/>
    <w:multiLevelType w:val="hybridMultilevel"/>
    <w:tmpl w:val="8612044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44D31F01"/>
    <w:multiLevelType w:val="hybridMultilevel"/>
    <w:tmpl w:val="6F30F6D6"/>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F5"/>
    <w:rsid w:val="00397B21"/>
    <w:rsid w:val="007570A4"/>
    <w:rsid w:val="007800F5"/>
    <w:rsid w:val="00AD2417"/>
    <w:rsid w:val="00AD6B4A"/>
    <w:rsid w:val="00DB16E3"/>
    <w:rsid w:val="00DF1FE2"/>
    <w:rsid w:val="00EB4F57"/>
    <w:rsid w:val="00EE68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3016"/>
  <w15:chartTrackingRefBased/>
  <w15:docId w15:val="{88F80B88-D576-4959-AEB5-F08A01EC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885"/>
    <w:pPr>
      <w:ind w:left="720"/>
      <w:contextualSpacing/>
    </w:pPr>
  </w:style>
  <w:style w:type="character" w:styleId="Hyperlink">
    <w:name w:val="Hyperlink"/>
    <w:basedOn w:val="DefaultParagraphFont"/>
    <w:uiPriority w:val="99"/>
    <w:semiHidden/>
    <w:unhideWhenUsed/>
    <w:rsid w:val="00AD24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699915">
      <w:bodyDiv w:val="1"/>
      <w:marLeft w:val="0"/>
      <w:marRight w:val="0"/>
      <w:marTop w:val="0"/>
      <w:marBottom w:val="0"/>
      <w:divBdr>
        <w:top w:val="none" w:sz="0" w:space="0" w:color="auto"/>
        <w:left w:val="none" w:sz="0" w:space="0" w:color="auto"/>
        <w:bottom w:val="none" w:sz="0" w:space="0" w:color="auto"/>
        <w:right w:val="none" w:sz="0" w:space="0" w:color="auto"/>
      </w:divBdr>
    </w:div>
    <w:div w:id="19026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garcia@ternium.com" TargetMode="External"/><Relationship Id="rId5" Type="http://schemas.openxmlformats.org/officeDocument/2006/relationships/hyperlink" Target="mailto:jonatan.marc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426</Words>
  <Characters>2346</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Diego     TERNIUM</dc:creator>
  <cp:keywords/>
  <dc:description/>
  <cp:lastModifiedBy>Jonatan March</cp:lastModifiedBy>
  <cp:revision>3</cp:revision>
  <dcterms:created xsi:type="dcterms:W3CDTF">2021-06-28T16:45:00Z</dcterms:created>
  <dcterms:modified xsi:type="dcterms:W3CDTF">2021-06-28T21:28:00Z</dcterms:modified>
</cp:coreProperties>
</file>